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3EE3" w14:textId="4709782A" w:rsidR="003127CE" w:rsidRPr="00CF545A" w:rsidRDefault="000F7456">
      <w:pPr>
        <w:pStyle w:val="Tablecaption"/>
        <w:spacing w:before="312" w:after="312"/>
        <w:rPr>
          <w:rFonts w:eastAsiaTheme="minorEastAsia"/>
        </w:rPr>
      </w:pPr>
      <w:r w:rsidRPr="000F7456">
        <w:rPr>
          <w:bCs/>
          <w:kern w:val="2"/>
        </w:rPr>
        <w:t>Supplementary</w:t>
      </w:r>
      <w:r>
        <w:rPr>
          <w:bCs/>
          <w:kern w:val="2"/>
        </w:rPr>
        <w:t xml:space="preserve"> </w:t>
      </w:r>
      <w:bookmarkStart w:id="0" w:name="_GoBack"/>
      <w:bookmarkEnd w:id="0"/>
      <w:r w:rsidR="00CF545A" w:rsidRPr="00CF545A">
        <w:rPr>
          <w:bCs/>
          <w:kern w:val="2"/>
        </w:rPr>
        <w:t>Table 1</w:t>
      </w:r>
      <w:r w:rsidR="00CF545A" w:rsidRPr="00CF545A">
        <w:t>. Literature summary table of FOS and improvement of normal bowel movement.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160"/>
        <w:gridCol w:w="1741"/>
        <w:gridCol w:w="1381"/>
        <w:gridCol w:w="1741"/>
        <w:gridCol w:w="963"/>
        <w:gridCol w:w="1933"/>
        <w:gridCol w:w="1914"/>
        <w:gridCol w:w="1836"/>
      </w:tblGrid>
      <w:tr w:rsidR="003127CE" w:rsidRPr="00CF545A" w14:paraId="4149B837" w14:textId="77777777">
        <w:trPr>
          <w:cantSplit/>
          <w:trHeight w:val="425"/>
          <w:jc w:val="center"/>
        </w:trPr>
        <w:tc>
          <w:tcPr>
            <w:tcW w:w="459" w:type="pct"/>
          </w:tcPr>
          <w:p w14:paraId="09AA4177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Study</w:t>
            </w:r>
          </w:p>
        </w:tc>
        <w:tc>
          <w:tcPr>
            <w:tcW w:w="416" w:type="pct"/>
          </w:tcPr>
          <w:p w14:paraId="639E322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Study design type</w:t>
            </w:r>
          </w:p>
        </w:tc>
        <w:tc>
          <w:tcPr>
            <w:tcW w:w="624" w:type="pct"/>
          </w:tcPr>
          <w:p w14:paraId="46F68CF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Methodology</w:t>
            </w:r>
          </w:p>
        </w:tc>
        <w:tc>
          <w:tcPr>
            <w:tcW w:w="495" w:type="pct"/>
          </w:tcPr>
          <w:p w14:paraId="7B8A72D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Sample size</w:t>
            </w:r>
          </w:p>
        </w:tc>
        <w:tc>
          <w:tcPr>
            <w:tcW w:w="624" w:type="pct"/>
          </w:tcPr>
          <w:p w14:paraId="096461CC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Study population</w:t>
            </w:r>
          </w:p>
        </w:tc>
        <w:tc>
          <w:tcPr>
            <w:tcW w:w="345" w:type="pct"/>
          </w:tcPr>
          <w:p w14:paraId="6B0891D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Duration</w:t>
            </w:r>
          </w:p>
        </w:tc>
        <w:tc>
          <w:tcPr>
            <w:tcW w:w="693" w:type="pct"/>
          </w:tcPr>
          <w:p w14:paraId="42D0EBC8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宋体"/>
              </w:rPr>
              <w:t>Key outcomes</w:t>
            </w:r>
          </w:p>
        </w:tc>
        <w:tc>
          <w:tcPr>
            <w:tcW w:w="686" w:type="pct"/>
          </w:tcPr>
          <w:p w14:paraId="63F2347E" w14:textId="77777777" w:rsidR="003127CE" w:rsidRPr="00CF545A" w:rsidRDefault="00CF545A">
            <w:pPr>
              <w:pStyle w:val="Tablebody"/>
              <w:jc w:val="left"/>
              <w:rPr>
                <w:rFonts w:eastAsia="宋体"/>
              </w:rPr>
            </w:pPr>
            <w:r w:rsidRPr="00CF545A">
              <w:rPr>
                <w:rFonts w:eastAsia="宋体"/>
              </w:rPr>
              <w:t>Reported adverse reactions</w:t>
            </w:r>
          </w:p>
        </w:tc>
        <w:tc>
          <w:tcPr>
            <w:tcW w:w="658" w:type="pct"/>
          </w:tcPr>
          <w:p w14:paraId="5DD4A1A2" w14:textId="77777777" w:rsidR="003127CE" w:rsidRPr="00CF545A" w:rsidRDefault="00CF545A">
            <w:pPr>
              <w:pStyle w:val="Tablebody"/>
              <w:jc w:val="left"/>
              <w:rPr>
                <w:rFonts w:eastAsia="宋体"/>
              </w:rPr>
            </w:pPr>
            <w:r w:rsidRPr="00CF545A">
              <w:rPr>
                <w:rFonts w:eastAsia="宋体"/>
              </w:rPr>
              <w:t>Single literature quality score</w:t>
            </w:r>
          </w:p>
        </w:tc>
      </w:tr>
      <w:tr w:rsidR="003127CE" w:rsidRPr="00CF545A" w14:paraId="38E0A2F9" w14:textId="77777777">
        <w:trPr>
          <w:cantSplit/>
          <w:trHeight w:val="425"/>
          <w:jc w:val="center"/>
        </w:trPr>
        <w:tc>
          <w:tcPr>
            <w:tcW w:w="459" w:type="pct"/>
          </w:tcPr>
          <w:p w14:paraId="442CF331" w14:textId="77777777" w:rsidR="003127CE" w:rsidRPr="00CF545A" w:rsidRDefault="00CF545A">
            <w:pPr>
              <w:pStyle w:val="Tablebody"/>
              <w:jc w:val="left"/>
            </w:pPr>
            <w:proofErr w:type="spellStart"/>
            <w:r w:rsidRPr="00CF545A">
              <w:rPr>
                <w:rFonts w:eastAsia="PingFang SC"/>
              </w:rPr>
              <w:t>Buddington</w:t>
            </w:r>
            <w:proofErr w:type="spellEnd"/>
            <w:r w:rsidRPr="00CF545A">
              <w:rPr>
                <w:rFonts w:eastAsia="PingFang SC"/>
              </w:rPr>
              <w:t xml:space="preserve">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2017 [</w:t>
            </w:r>
            <w:r w:rsidRPr="00CF545A">
              <w:t>27]</w:t>
            </w:r>
          </w:p>
        </w:tc>
        <w:tc>
          <w:tcPr>
            <w:tcW w:w="416" w:type="pct"/>
          </w:tcPr>
          <w:p w14:paraId="0B7A772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(parallel-arm)</w:t>
            </w:r>
          </w:p>
        </w:tc>
        <w:tc>
          <w:tcPr>
            <w:tcW w:w="624" w:type="pct"/>
          </w:tcPr>
          <w:p w14:paraId="74397FD5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 dissolved in drink; dose escalation: phase 1: 5 g/d, phase 2: 10 g/d, phase 3: 15 g/d;</w:t>
            </w:r>
          </w:p>
          <w:p w14:paraId="5CEA13D3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maltodextrin, 15 g/d</w:t>
            </w:r>
          </w:p>
        </w:tc>
        <w:tc>
          <w:tcPr>
            <w:tcW w:w="495" w:type="pct"/>
          </w:tcPr>
          <w:p w14:paraId="1B0772D3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104 enrolled, 97 completed (</w:t>
            </w:r>
            <w:r w:rsidRPr="00CF545A">
              <w:rPr>
                <w:rFonts w:eastAsia="宋体"/>
              </w:rPr>
              <w:t>Intervention</w:t>
            </w:r>
            <w:r w:rsidRPr="00CF545A">
              <w:rPr>
                <w:rFonts w:eastAsia="PingFang SC"/>
              </w:rPr>
              <w:t>: 49, Control: 48)</w:t>
            </w:r>
          </w:p>
        </w:tc>
        <w:tc>
          <w:tcPr>
            <w:tcW w:w="624" w:type="pct"/>
          </w:tcPr>
          <w:p w14:paraId="07CCD51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adults with ≤3 bowel movements/week, aged 18–65 years; USA</w:t>
            </w:r>
          </w:p>
        </w:tc>
        <w:tc>
          <w:tcPr>
            <w:tcW w:w="345" w:type="pct"/>
          </w:tcPr>
          <w:p w14:paraId="58174498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16 days (each phase 4–5 days)</w:t>
            </w:r>
          </w:p>
        </w:tc>
        <w:tc>
          <w:tcPr>
            <w:tcW w:w="693" w:type="pct"/>
          </w:tcPr>
          <w:p w14:paraId="0FAF5D61" w14:textId="77777777" w:rsidR="003127CE" w:rsidRPr="00CF545A" w:rsidRDefault="00CF545A">
            <w:pPr>
              <w:pStyle w:val="Tablebody"/>
              <w:jc w:val="left"/>
              <w:rPr>
                <w:rFonts w:eastAsia="宋体"/>
              </w:rPr>
            </w:pPr>
            <w:r w:rsidRPr="00CF545A">
              <w:rPr>
                <w:rFonts w:eastAsia="PingFang SC"/>
              </w:rPr>
              <w:t>Stool frequency increased in a dose-dependent manner (mean increase of 1.5 times/week); stool consistency showed no significant change</w:t>
            </w:r>
            <w:r w:rsidRPr="00CF545A">
              <w:rPr>
                <w:rFonts w:eastAsia="宋体"/>
              </w:rPr>
              <w:t>.</w:t>
            </w:r>
          </w:p>
        </w:tc>
        <w:tc>
          <w:tcPr>
            <w:tcW w:w="686" w:type="pct"/>
          </w:tcPr>
          <w:p w14:paraId="559E03C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No adverse events reported.</w:t>
            </w:r>
          </w:p>
        </w:tc>
        <w:tc>
          <w:tcPr>
            <w:tcW w:w="658" w:type="pct"/>
          </w:tcPr>
          <w:p w14:paraId="2A03528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5C81636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2</w:t>
            </w:r>
          </w:p>
          <w:p w14:paraId="6ACF2AE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3</w:t>
            </w:r>
          </w:p>
          <w:p w14:paraId="28ADBA82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2BD8D7E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12</w:t>
            </w:r>
          </w:p>
        </w:tc>
      </w:tr>
      <w:tr w:rsidR="003127CE" w:rsidRPr="00CF545A" w14:paraId="0DDCE5DB" w14:textId="77777777">
        <w:trPr>
          <w:cantSplit/>
          <w:trHeight w:val="425"/>
          <w:jc w:val="center"/>
        </w:trPr>
        <w:tc>
          <w:tcPr>
            <w:tcW w:w="459" w:type="pct"/>
          </w:tcPr>
          <w:p w14:paraId="1CD8F84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Dahl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2014 [</w:t>
            </w:r>
            <w:r w:rsidRPr="00CF545A">
              <w:t>28]</w:t>
            </w:r>
          </w:p>
        </w:tc>
        <w:tc>
          <w:tcPr>
            <w:tcW w:w="416" w:type="pct"/>
          </w:tcPr>
          <w:p w14:paraId="4ABABDF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(parallel-arm)</w:t>
            </w:r>
          </w:p>
        </w:tc>
        <w:tc>
          <w:tcPr>
            <w:tcW w:w="624" w:type="pct"/>
          </w:tcPr>
          <w:p w14:paraId="7916DA09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 16 g/d, incorporated into yogurt and snack bars;</w:t>
            </w:r>
          </w:p>
          <w:p w14:paraId="7CB790A3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matched control foods without FOS</w:t>
            </w:r>
          </w:p>
        </w:tc>
        <w:tc>
          <w:tcPr>
            <w:tcW w:w="495" w:type="pct"/>
          </w:tcPr>
          <w:p w14:paraId="2934C9B5" w14:textId="77777777" w:rsidR="003127CE" w:rsidRPr="00CF545A" w:rsidRDefault="00CF545A">
            <w:pPr>
              <w:pStyle w:val="Tablebody"/>
              <w:jc w:val="left"/>
            </w:pPr>
            <w:r w:rsidRPr="00CF545A">
              <w:t>98 enrolled, 98 completed (Intervention: 50, Control: 48)</w:t>
            </w:r>
          </w:p>
        </w:tc>
        <w:tc>
          <w:tcPr>
            <w:tcW w:w="624" w:type="pct"/>
          </w:tcPr>
          <w:p w14:paraId="692AEE68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adults, aged 18–50 years; USA</w:t>
            </w:r>
          </w:p>
        </w:tc>
        <w:tc>
          <w:tcPr>
            <w:tcW w:w="345" w:type="pct"/>
          </w:tcPr>
          <w:p w14:paraId="2F08FAD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8 weeks</w:t>
            </w:r>
          </w:p>
        </w:tc>
        <w:tc>
          <w:tcPr>
            <w:tcW w:w="693" w:type="pct"/>
          </w:tcPr>
          <w:p w14:paraId="068B51D7" w14:textId="77777777" w:rsidR="003127CE" w:rsidRPr="00CF545A" w:rsidRDefault="00CF545A">
            <w:pPr>
              <w:pStyle w:val="Tablebody"/>
              <w:jc w:val="left"/>
            </w:pPr>
            <w:r w:rsidRPr="00CF545A">
              <w:t>Stool frequency was significantly increased in the FOS intervention group.</w:t>
            </w:r>
          </w:p>
        </w:tc>
        <w:tc>
          <w:tcPr>
            <w:tcW w:w="686" w:type="pct"/>
          </w:tcPr>
          <w:p w14:paraId="29CF48C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A higher mean gastrointestinal</w:t>
            </w:r>
          </w:p>
          <w:p w14:paraId="10279917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Symptoms (bloating, flatulence, abdominal cramping and noises) intensity score reported.</w:t>
            </w:r>
          </w:p>
        </w:tc>
        <w:tc>
          <w:tcPr>
            <w:tcW w:w="658" w:type="pct"/>
          </w:tcPr>
          <w:p w14:paraId="5A28D3E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6B5743B9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4</w:t>
            </w:r>
          </w:p>
          <w:p w14:paraId="0DCE107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2</w:t>
            </w:r>
          </w:p>
          <w:p w14:paraId="355B3DB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085A5E3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13</w:t>
            </w:r>
          </w:p>
        </w:tc>
      </w:tr>
      <w:tr w:rsidR="003127CE" w:rsidRPr="00CF545A" w14:paraId="17AFDA0C" w14:textId="77777777">
        <w:trPr>
          <w:cantSplit/>
          <w:trHeight w:val="425"/>
          <w:jc w:val="center"/>
        </w:trPr>
        <w:tc>
          <w:tcPr>
            <w:tcW w:w="459" w:type="pct"/>
          </w:tcPr>
          <w:p w14:paraId="6E6ACAC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lastRenderedPageBreak/>
              <w:t xml:space="preserve">François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2014 [</w:t>
            </w:r>
            <w:r w:rsidRPr="00CF545A">
              <w:t>29]</w:t>
            </w:r>
          </w:p>
        </w:tc>
        <w:tc>
          <w:tcPr>
            <w:tcW w:w="416" w:type="pct"/>
          </w:tcPr>
          <w:p w14:paraId="11F2851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1FE9B2BB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 in non-carbonated soft drinks, 15 g/d for 1 week, 30 g/d for 1 week;</w:t>
            </w:r>
          </w:p>
          <w:p w14:paraId="637A79D0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placebo soft drinks</w:t>
            </w:r>
          </w:p>
        </w:tc>
        <w:tc>
          <w:tcPr>
            <w:tcW w:w="495" w:type="pct"/>
          </w:tcPr>
          <w:p w14:paraId="6C9FFE2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20 </w:t>
            </w:r>
            <w:r w:rsidRPr="00CF545A">
              <w:t>enrolled</w:t>
            </w:r>
            <w:r w:rsidRPr="00CF545A">
              <w:rPr>
                <w:rFonts w:eastAsia="PingFang SC"/>
              </w:rPr>
              <w:t>, 20 completed</w:t>
            </w:r>
          </w:p>
        </w:tc>
        <w:tc>
          <w:tcPr>
            <w:tcW w:w="624" w:type="pct"/>
          </w:tcPr>
          <w:p w14:paraId="50E5CC9F" w14:textId="77777777" w:rsidR="003127CE" w:rsidRPr="00CF545A" w:rsidRDefault="00CF545A">
            <w:pPr>
              <w:pStyle w:val="Tablebody"/>
              <w:jc w:val="left"/>
            </w:pPr>
            <w:r w:rsidRPr="00CF545A">
              <w:t xml:space="preserve">Healthy adults, mean age 46.9 </w:t>
            </w:r>
            <w:r w:rsidRPr="00CF545A">
              <w:rPr>
                <w:rFonts w:eastAsia="PingFang SC"/>
              </w:rPr>
              <w:t xml:space="preserve">± </w:t>
            </w:r>
            <w:r w:rsidRPr="00CF545A">
              <w:t>15.9 years; Belgium</w:t>
            </w:r>
          </w:p>
        </w:tc>
        <w:tc>
          <w:tcPr>
            <w:tcW w:w="345" w:type="pct"/>
          </w:tcPr>
          <w:p w14:paraId="1AE7E148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1 week per dose</w:t>
            </w:r>
          </w:p>
        </w:tc>
        <w:tc>
          <w:tcPr>
            <w:tcW w:w="693" w:type="pct"/>
          </w:tcPr>
          <w:p w14:paraId="4CBA41C0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Intake of 30 g/d FOS reduced stool pH by 0.4 units compared with placebo; stool moisture concentration was significantly higher with 30 g/d FOS (75.7%) versus placebo.</w:t>
            </w:r>
          </w:p>
        </w:tc>
        <w:tc>
          <w:tcPr>
            <w:tcW w:w="686" w:type="pct"/>
          </w:tcPr>
          <w:p w14:paraId="20793E3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Abdominal discomfort (flatulence) reported at 15 g/d and 30 g/d doses; bloating reported at the 30 g/d dose.</w:t>
            </w:r>
          </w:p>
        </w:tc>
        <w:tc>
          <w:tcPr>
            <w:tcW w:w="658" w:type="pct"/>
          </w:tcPr>
          <w:p w14:paraId="66557BA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7876B40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2</w:t>
            </w:r>
          </w:p>
          <w:p w14:paraId="7CE54702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3</w:t>
            </w:r>
          </w:p>
          <w:p w14:paraId="02E2093F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3489708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12</w:t>
            </w:r>
          </w:p>
        </w:tc>
      </w:tr>
      <w:tr w:rsidR="003127CE" w:rsidRPr="00CF545A" w14:paraId="3117A808" w14:textId="77777777">
        <w:trPr>
          <w:cantSplit/>
          <w:trHeight w:val="425"/>
          <w:jc w:val="center"/>
        </w:trPr>
        <w:tc>
          <w:tcPr>
            <w:tcW w:w="459" w:type="pct"/>
          </w:tcPr>
          <w:p w14:paraId="504CBC66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Geyer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2008 [</w:t>
            </w:r>
            <w:r w:rsidRPr="00CF545A">
              <w:t>30]</w:t>
            </w:r>
          </w:p>
        </w:tc>
        <w:tc>
          <w:tcPr>
            <w:tcW w:w="416" w:type="pct"/>
          </w:tcPr>
          <w:p w14:paraId="2AE47E2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1AC97E7C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Intervention: </w:t>
            </w:r>
            <w:proofErr w:type="spellStart"/>
            <w:r w:rsidRPr="00CF545A">
              <w:rPr>
                <w:rFonts w:eastAsia="PingFang SC"/>
              </w:rPr>
              <w:t>Yacon</w:t>
            </w:r>
            <w:proofErr w:type="spellEnd"/>
            <w:r w:rsidRPr="00CF545A">
              <w:rPr>
                <w:rFonts w:eastAsia="PingFang SC"/>
              </w:rPr>
              <w:t xml:space="preserve"> syrup (equivalent to 6.4 g/d FOS); Control: placebo syrup</w:t>
            </w:r>
          </w:p>
        </w:tc>
        <w:tc>
          <w:tcPr>
            <w:tcW w:w="495" w:type="pct"/>
          </w:tcPr>
          <w:p w14:paraId="3F06115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16 </w:t>
            </w:r>
            <w:r w:rsidRPr="00CF545A">
              <w:t>enrolled</w:t>
            </w:r>
            <w:r w:rsidRPr="00CF545A">
              <w:rPr>
                <w:rFonts w:eastAsia="PingFang SC"/>
              </w:rPr>
              <w:t>, 16 completed</w:t>
            </w:r>
          </w:p>
        </w:tc>
        <w:tc>
          <w:tcPr>
            <w:tcW w:w="624" w:type="pct"/>
          </w:tcPr>
          <w:p w14:paraId="66D5376F" w14:textId="77777777" w:rsidR="003127CE" w:rsidRPr="00CF545A" w:rsidRDefault="00CF545A">
            <w:pPr>
              <w:pStyle w:val="Tablebody"/>
              <w:jc w:val="left"/>
            </w:pPr>
            <w:r w:rsidRPr="00CF545A">
              <w:t>Healthy adults, aged 18–57 years; Switzerland</w:t>
            </w:r>
          </w:p>
        </w:tc>
        <w:tc>
          <w:tcPr>
            <w:tcW w:w="345" w:type="pct"/>
          </w:tcPr>
          <w:p w14:paraId="1CBC99E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2 weeks</w:t>
            </w:r>
          </w:p>
        </w:tc>
        <w:tc>
          <w:tcPr>
            <w:tcW w:w="693" w:type="pct"/>
          </w:tcPr>
          <w:p w14:paraId="0A6A1BED" w14:textId="77777777" w:rsidR="003127CE" w:rsidRPr="00CF545A" w:rsidRDefault="00CF545A">
            <w:pPr>
              <w:pStyle w:val="Tablebody"/>
              <w:jc w:val="left"/>
            </w:pPr>
            <w:r w:rsidRPr="00CF545A">
              <w:t>Gastrointestinal transit time significantly decreased from 59.7 ± 4.3 h to 38.4 ± 4.2 h; stool frequency increased from 1.1 ± 0.1 to 1.3 ± 0.2 times per day; stool consistency tended to be softer.</w:t>
            </w:r>
          </w:p>
        </w:tc>
        <w:tc>
          <w:tcPr>
            <w:tcW w:w="686" w:type="pct"/>
          </w:tcPr>
          <w:p w14:paraId="23BE0C1F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No adverse events reported.</w:t>
            </w:r>
          </w:p>
        </w:tc>
        <w:tc>
          <w:tcPr>
            <w:tcW w:w="658" w:type="pct"/>
          </w:tcPr>
          <w:p w14:paraId="4CE3BD81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57E9D933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413E637A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3</w:t>
            </w:r>
          </w:p>
          <w:p w14:paraId="117B1305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3995562C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13</w:t>
            </w:r>
          </w:p>
        </w:tc>
      </w:tr>
      <w:tr w:rsidR="003127CE" w:rsidRPr="00CF545A" w14:paraId="1AC08552" w14:textId="77777777">
        <w:trPr>
          <w:cantSplit/>
          <w:trHeight w:val="425"/>
          <w:jc w:val="center"/>
        </w:trPr>
        <w:tc>
          <w:tcPr>
            <w:tcW w:w="459" w:type="pct"/>
          </w:tcPr>
          <w:p w14:paraId="739610C5" w14:textId="77777777" w:rsidR="003127CE" w:rsidRPr="00CF545A" w:rsidRDefault="00CF545A">
            <w:pPr>
              <w:pStyle w:val="Tablebody"/>
              <w:jc w:val="left"/>
            </w:pPr>
            <w:proofErr w:type="spellStart"/>
            <w:r w:rsidRPr="00CF545A">
              <w:rPr>
                <w:rFonts w:eastAsia="PingFang SC"/>
              </w:rPr>
              <w:lastRenderedPageBreak/>
              <w:t>Scholtens</w:t>
            </w:r>
            <w:proofErr w:type="spellEnd"/>
            <w:r w:rsidRPr="00CF545A">
              <w:rPr>
                <w:rFonts w:eastAsia="PingFang SC"/>
              </w:rPr>
              <w:t xml:space="preserve">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2006 [</w:t>
            </w:r>
            <w:r w:rsidRPr="00CF545A">
              <w:t>31]</w:t>
            </w:r>
          </w:p>
        </w:tc>
        <w:tc>
          <w:tcPr>
            <w:tcW w:w="416" w:type="pct"/>
          </w:tcPr>
          <w:p w14:paraId="5F0E5BE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44E8EDB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Intervention: FOS, 25 g/d for body weight below 70 kg, 30 g/d for body weight over 70 kg; Control: maltodextrin</w:t>
            </w:r>
          </w:p>
        </w:tc>
        <w:tc>
          <w:tcPr>
            <w:tcW w:w="495" w:type="pct"/>
          </w:tcPr>
          <w:p w14:paraId="36F4207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12 </w:t>
            </w:r>
            <w:r w:rsidRPr="00CF545A">
              <w:t>enrolled</w:t>
            </w:r>
            <w:r w:rsidRPr="00CF545A">
              <w:rPr>
                <w:rFonts w:eastAsia="PingFang SC"/>
              </w:rPr>
              <w:t>, 12 completed</w:t>
            </w:r>
          </w:p>
        </w:tc>
        <w:tc>
          <w:tcPr>
            <w:tcW w:w="624" w:type="pct"/>
          </w:tcPr>
          <w:p w14:paraId="4E8DEAF7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adults, aged 21.4 ± 2.0 years; Netherlands</w:t>
            </w:r>
          </w:p>
        </w:tc>
        <w:tc>
          <w:tcPr>
            <w:tcW w:w="345" w:type="pct"/>
          </w:tcPr>
          <w:p w14:paraId="357BE3F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2 weeks</w:t>
            </w:r>
          </w:p>
        </w:tc>
        <w:tc>
          <w:tcPr>
            <w:tcW w:w="693" w:type="pct"/>
          </w:tcPr>
          <w:p w14:paraId="6CE64E14" w14:textId="77777777" w:rsidR="003127CE" w:rsidRPr="00CF545A" w:rsidRDefault="00CF545A">
            <w:pPr>
              <w:pStyle w:val="Tablebody"/>
              <w:jc w:val="left"/>
            </w:pPr>
            <w:r w:rsidRPr="00CF545A">
              <w:t>Stool frequency was significantly higher during the FOS period versus control period (mean 1.5 versus 1.2 times per day); total stool output tended to be higher with FOS; stool consistency was similar between groups.</w:t>
            </w:r>
          </w:p>
        </w:tc>
        <w:tc>
          <w:tcPr>
            <w:tcW w:w="686" w:type="pct"/>
          </w:tcPr>
          <w:p w14:paraId="5A4E480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Flatulence reported more frequently with FOS.</w:t>
            </w:r>
          </w:p>
        </w:tc>
        <w:tc>
          <w:tcPr>
            <w:tcW w:w="658" w:type="pct"/>
          </w:tcPr>
          <w:p w14:paraId="082F256B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13BB35AB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100692A7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3</w:t>
            </w:r>
          </w:p>
          <w:p w14:paraId="6734C69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6EB46CD8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13</w:t>
            </w:r>
          </w:p>
        </w:tc>
      </w:tr>
      <w:tr w:rsidR="003127CE" w:rsidRPr="00CF545A" w14:paraId="59D444FC" w14:textId="77777777">
        <w:trPr>
          <w:cantSplit/>
          <w:trHeight w:val="425"/>
          <w:jc w:val="center"/>
        </w:trPr>
        <w:tc>
          <w:tcPr>
            <w:tcW w:w="459" w:type="pct"/>
          </w:tcPr>
          <w:p w14:paraId="66C74F2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Ten </w:t>
            </w:r>
            <w:proofErr w:type="spellStart"/>
            <w:r w:rsidRPr="00CF545A">
              <w:rPr>
                <w:rFonts w:eastAsia="PingFang SC"/>
              </w:rPr>
              <w:t>Bruggencate</w:t>
            </w:r>
            <w:proofErr w:type="spellEnd"/>
            <w:r w:rsidRPr="00CF545A">
              <w:rPr>
                <w:rFonts w:eastAsia="PingFang SC"/>
              </w:rPr>
              <w:t xml:space="preserve">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2006 [</w:t>
            </w:r>
            <w:r w:rsidRPr="00CF545A">
              <w:t>32]</w:t>
            </w:r>
          </w:p>
        </w:tc>
        <w:tc>
          <w:tcPr>
            <w:tcW w:w="416" w:type="pct"/>
          </w:tcPr>
          <w:p w14:paraId="0734D6D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11222AF5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 in lemonade, 20 g/d;</w:t>
            </w:r>
          </w:p>
          <w:p w14:paraId="66D6A55C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Sucrose in lemonade, 6 g/d</w:t>
            </w:r>
          </w:p>
        </w:tc>
        <w:tc>
          <w:tcPr>
            <w:tcW w:w="495" w:type="pct"/>
          </w:tcPr>
          <w:p w14:paraId="5392A8A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34 </w:t>
            </w:r>
            <w:r w:rsidRPr="00CF545A">
              <w:t>enrolled</w:t>
            </w:r>
            <w:r w:rsidRPr="00CF545A">
              <w:rPr>
                <w:rFonts w:eastAsia="PingFang SC"/>
              </w:rPr>
              <w:t>, 34 completed</w:t>
            </w:r>
          </w:p>
        </w:tc>
        <w:tc>
          <w:tcPr>
            <w:tcW w:w="624" w:type="pct"/>
          </w:tcPr>
          <w:p w14:paraId="3C5C7CD6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men, aged 18–55 years; Netherlands</w:t>
            </w:r>
          </w:p>
        </w:tc>
        <w:tc>
          <w:tcPr>
            <w:tcW w:w="345" w:type="pct"/>
          </w:tcPr>
          <w:p w14:paraId="432DEEBD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2 weeks</w:t>
            </w:r>
          </w:p>
        </w:tc>
        <w:tc>
          <w:tcPr>
            <w:tcW w:w="693" w:type="pct"/>
          </w:tcPr>
          <w:p w14:paraId="542CB00F" w14:textId="77777777" w:rsidR="003127CE" w:rsidRPr="00CF545A" w:rsidRDefault="00CF545A">
            <w:pPr>
              <w:pStyle w:val="Tablebody"/>
              <w:jc w:val="left"/>
            </w:pPr>
            <w:r w:rsidRPr="00CF545A">
              <w:t>Fecal wet weight was significantly increased with FOS intervention; fecal dry weight showed no significant change.</w:t>
            </w:r>
          </w:p>
        </w:tc>
        <w:tc>
          <w:tcPr>
            <w:tcW w:w="686" w:type="pct"/>
          </w:tcPr>
          <w:p w14:paraId="516B22C3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Flatulence and bloating reported more frequently with FOS.</w:t>
            </w:r>
          </w:p>
        </w:tc>
        <w:tc>
          <w:tcPr>
            <w:tcW w:w="658" w:type="pct"/>
          </w:tcPr>
          <w:p w14:paraId="1621819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1E751CC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0DDEBEF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2</w:t>
            </w:r>
          </w:p>
          <w:p w14:paraId="3551B392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1</w:t>
            </w:r>
          </w:p>
          <w:p w14:paraId="1A62C2B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10</w:t>
            </w:r>
          </w:p>
        </w:tc>
      </w:tr>
      <w:tr w:rsidR="003127CE" w:rsidRPr="00CF545A" w14:paraId="7ED9147C" w14:textId="77777777">
        <w:trPr>
          <w:cantSplit/>
          <w:trHeight w:val="425"/>
          <w:jc w:val="center"/>
        </w:trPr>
        <w:tc>
          <w:tcPr>
            <w:tcW w:w="459" w:type="pct"/>
          </w:tcPr>
          <w:p w14:paraId="3F677055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lastRenderedPageBreak/>
              <w:t xml:space="preserve">Swanson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2002 [</w:t>
            </w:r>
            <w:r w:rsidRPr="00CF545A">
              <w:t>33]</w:t>
            </w:r>
          </w:p>
        </w:tc>
        <w:tc>
          <w:tcPr>
            <w:tcW w:w="416" w:type="pct"/>
          </w:tcPr>
          <w:p w14:paraId="7E4D3F3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(parallel-arm)</w:t>
            </w:r>
          </w:p>
        </w:tc>
        <w:tc>
          <w:tcPr>
            <w:tcW w:w="624" w:type="pct"/>
          </w:tcPr>
          <w:p w14:paraId="747F5F72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Intervention: FOS, 6 g/d; Control: sucrose, 6 g/d</w:t>
            </w:r>
          </w:p>
        </w:tc>
        <w:tc>
          <w:tcPr>
            <w:tcW w:w="495" w:type="pct"/>
          </w:tcPr>
          <w:p w14:paraId="557D8E6D" w14:textId="77777777" w:rsidR="003127CE" w:rsidRPr="00CF545A" w:rsidRDefault="00CF545A">
            <w:pPr>
              <w:pStyle w:val="Tablebody"/>
              <w:jc w:val="left"/>
            </w:pPr>
            <w:r w:rsidRPr="00CF545A">
              <w:t xml:space="preserve">68 enrolled, 62 completed (Intervention of </w:t>
            </w:r>
            <w:proofErr w:type="spellStart"/>
            <w:r w:rsidRPr="00CF545A">
              <w:t>scFOS</w:t>
            </w:r>
            <w:proofErr w:type="spellEnd"/>
            <w:r w:rsidRPr="00CF545A">
              <w:t>: 15, Control: 15)</w:t>
            </w:r>
          </w:p>
        </w:tc>
        <w:tc>
          <w:tcPr>
            <w:tcW w:w="624" w:type="pct"/>
          </w:tcPr>
          <w:p w14:paraId="4CCDC8BC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adults, mean age 26.2 years; USA</w:t>
            </w:r>
          </w:p>
        </w:tc>
        <w:tc>
          <w:tcPr>
            <w:tcW w:w="345" w:type="pct"/>
          </w:tcPr>
          <w:p w14:paraId="0D9AA5AC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4 weeks</w:t>
            </w:r>
          </w:p>
        </w:tc>
        <w:tc>
          <w:tcPr>
            <w:tcW w:w="693" w:type="pct"/>
          </w:tcPr>
          <w:p w14:paraId="00D27501" w14:textId="77777777" w:rsidR="003127CE" w:rsidRPr="00CF545A" w:rsidRDefault="00CF545A">
            <w:pPr>
              <w:pStyle w:val="Tablebody"/>
              <w:jc w:val="left"/>
            </w:pPr>
            <w:r w:rsidRPr="00CF545A">
              <w:t>No significant differences were observed in stool frequency, consistency, or wet weight between the FOS and control groups.</w:t>
            </w:r>
          </w:p>
        </w:tc>
        <w:tc>
          <w:tcPr>
            <w:tcW w:w="686" w:type="pct"/>
          </w:tcPr>
          <w:p w14:paraId="24DF5FB6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Gastrointestinal symptoms were not recorded.</w:t>
            </w:r>
          </w:p>
        </w:tc>
        <w:tc>
          <w:tcPr>
            <w:tcW w:w="658" w:type="pct"/>
          </w:tcPr>
          <w:p w14:paraId="2867936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288D891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58D0932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1</w:t>
            </w:r>
          </w:p>
          <w:p w14:paraId="54A9266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7834060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11</w:t>
            </w:r>
          </w:p>
        </w:tc>
      </w:tr>
      <w:tr w:rsidR="003127CE" w:rsidRPr="00CF545A" w14:paraId="75A0A080" w14:textId="77777777">
        <w:trPr>
          <w:cantSplit/>
          <w:trHeight w:val="425"/>
          <w:jc w:val="center"/>
        </w:trPr>
        <w:tc>
          <w:tcPr>
            <w:tcW w:w="459" w:type="pct"/>
          </w:tcPr>
          <w:p w14:paraId="68F3CB4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 xml:space="preserve">Cummings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2001 [</w:t>
            </w:r>
            <w:r w:rsidRPr="00CF545A">
              <w:t>34]</w:t>
            </w:r>
          </w:p>
        </w:tc>
        <w:tc>
          <w:tcPr>
            <w:tcW w:w="416" w:type="pct"/>
          </w:tcPr>
          <w:p w14:paraId="6BCB960D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(parallel-arm)</w:t>
            </w:r>
          </w:p>
        </w:tc>
        <w:tc>
          <w:tcPr>
            <w:tcW w:w="624" w:type="pct"/>
          </w:tcPr>
          <w:p w14:paraId="7C48505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FOS, 10 g/d;</w:t>
            </w:r>
          </w:p>
          <w:p w14:paraId="7D3E9E06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maltodextrin</w:t>
            </w:r>
          </w:p>
        </w:tc>
        <w:tc>
          <w:tcPr>
            <w:tcW w:w="495" w:type="pct"/>
          </w:tcPr>
          <w:p w14:paraId="66414197" w14:textId="77777777" w:rsidR="003127CE" w:rsidRPr="00CF545A" w:rsidRDefault="00CF545A">
            <w:pPr>
              <w:pStyle w:val="Tablebody"/>
              <w:jc w:val="left"/>
            </w:pPr>
            <w:r w:rsidRPr="00CF545A">
              <w:t>363 enrolled, 244 completed (Intervention: 117, Control: 127)</w:t>
            </w:r>
          </w:p>
        </w:tc>
        <w:tc>
          <w:tcPr>
            <w:tcW w:w="624" w:type="pct"/>
          </w:tcPr>
          <w:p w14:paraId="707E2FF8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adults, aged 18–75 years; UK</w:t>
            </w:r>
          </w:p>
        </w:tc>
        <w:tc>
          <w:tcPr>
            <w:tcW w:w="345" w:type="pct"/>
          </w:tcPr>
          <w:p w14:paraId="34032F6F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4 weeks</w:t>
            </w:r>
          </w:p>
        </w:tc>
        <w:tc>
          <w:tcPr>
            <w:tcW w:w="693" w:type="pct"/>
          </w:tcPr>
          <w:p w14:paraId="793F965A" w14:textId="77777777" w:rsidR="003127CE" w:rsidRPr="00CF545A" w:rsidRDefault="00CF545A">
            <w:pPr>
              <w:pStyle w:val="Tablebody"/>
              <w:jc w:val="left"/>
            </w:pPr>
            <w:r w:rsidRPr="00CF545A">
              <w:t>Stool frequency was significantly increased by 6% in the FOS intervention group versus control.</w:t>
            </w:r>
          </w:p>
        </w:tc>
        <w:tc>
          <w:tcPr>
            <w:tcW w:w="686" w:type="pct"/>
          </w:tcPr>
          <w:p w14:paraId="17780384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Flatulence reported more frequently with FOS.</w:t>
            </w:r>
          </w:p>
        </w:tc>
        <w:tc>
          <w:tcPr>
            <w:tcW w:w="658" w:type="pct"/>
          </w:tcPr>
          <w:p w14:paraId="722BAC8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1085AAA1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72EFAD57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1</w:t>
            </w:r>
          </w:p>
          <w:p w14:paraId="6FD9CE0D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11C2B4D9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11</w:t>
            </w:r>
          </w:p>
        </w:tc>
      </w:tr>
      <w:tr w:rsidR="003127CE" w:rsidRPr="00CF545A" w14:paraId="290323FD" w14:textId="77777777">
        <w:trPr>
          <w:cantSplit/>
          <w:trHeight w:val="425"/>
          <w:jc w:val="center"/>
        </w:trPr>
        <w:tc>
          <w:tcPr>
            <w:tcW w:w="459" w:type="pct"/>
          </w:tcPr>
          <w:p w14:paraId="2E3A4D21" w14:textId="77777777" w:rsidR="003127CE" w:rsidRPr="00CF545A" w:rsidRDefault="00CF545A">
            <w:pPr>
              <w:pStyle w:val="Tablebody"/>
              <w:jc w:val="left"/>
              <w:rPr>
                <w:lang w:val="fr-FR"/>
              </w:rPr>
            </w:pPr>
            <w:r w:rsidRPr="00CF545A">
              <w:rPr>
                <w:rFonts w:eastAsia="PingFang SC"/>
              </w:rPr>
              <w:t xml:space="preserve">Van </w:t>
            </w:r>
            <w:proofErr w:type="spellStart"/>
            <w:r w:rsidRPr="00CF545A">
              <w:rPr>
                <w:rFonts w:eastAsia="PingFang SC"/>
              </w:rPr>
              <w:t>Dokkum</w:t>
            </w:r>
            <w:proofErr w:type="spellEnd"/>
            <w:r w:rsidRPr="00CF545A">
              <w:rPr>
                <w:rFonts w:eastAsia="PingFang SC"/>
              </w:rPr>
              <w:t xml:space="preserve">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1999 [</w:t>
            </w:r>
            <w:r w:rsidRPr="00CF545A">
              <w:t>35]</w:t>
            </w:r>
          </w:p>
        </w:tc>
        <w:tc>
          <w:tcPr>
            <w:tcW w:w="416" w:type="pct"/>
          </w:tcPr>
          <w:p w14:paraId="0DADC3E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5E424C3D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Intervention: FOS supplemented in diet, 15 g/d; versus Control: same diet with no added FOS</w:t>
            </w:r>
          </w:p>
        </w:tc>
        <w:tc>
          <w:tcPr>
            <w:tcW w:w="495" w:type="pct"/>
          </w:tcPr>
          <w:p w14:paraId="3073A4A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12 enrolled, 12 completed</w:t>
            </w:r>
          </w:p>
        </w:tc>
        <w:tc>
          <w:tcPr>
            <w:tcW w:w="624" w:type="pct"/>
          </w:tcPr>
          <w:p w14:paraId="5F7FF14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men, aged 23 ± 3 years; Netherlands</w:t>
            </w:r>
          </w:p>
        </w:tc>
        <w:tc>
          <w:tcPr>
            <w:tcW w:w="345" w:type="pct"/>
          </w:tcPr>
          <w:p w14:paraId="4A593359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3 weeks</w:t>
            </w:r>
          </w:p>
        </w:tc>
        <w:tc>
          <w:tcPr>
            <w:tcW w:w="693" w:type="pct"/>
          </w:tcPr>
          <w:p w14:paraId="5B13BA64" w14:textId="77777777" w:rsidR="003127CE" w:rsidRPr="00CF545A" w:rsidRDefault="00CF545A">
            <w:pPr>
              <w:pStyle w:val="Tablebody"/>
              <w:jc w:val="left"/>
            </w:pPr>
            <w:r w:rsidRPr="00CF545A">
              <w:t>Fecal deoxycholic acid concentration was significantly reduced; no significant changes in fecal wet or dry weight were observed.</w:t>
            </w:r>
          </w:p>
        </w:tc>
        <w:tc>
          <w:tcPr>
            <w:tcW w:w="686" w:type="pct"/>
          </w:tcPr>
          <w:p w14:paraId="1EE27F19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Gastrointestinal symptoms were not recorded.</w:t>
            </w:r>
          </w:p>
        </w:tc>
        <w:tc>
          <w:tcPr>
            <w:tcW w:w="658" w:type="pct"/>
          </w:tcPr>
          <w:p w14:paraId="7232A3B7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1BBFA82E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3</w:t>
            </w:r>
          </w:p>
          <w:p w14:paraId="22A3BA9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1</w:t>
            </w:r>
          </w:p>
          <w:p w14:paraId="7E38F595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1</w:t>
            </w:r>
          </w:p>
          <w:p w14:paraId="6A325C13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9</w:t>
            </w:r>
          </w:p>
        </w:tc>
      </w:tr>
      <w:tr w:rsidR="003127CE" w14:paraId="5B15398A" w14:textId="77777777">
        <w:trPr>
          <w:cantSplit/>
          <w:trHeight w:val="425"/>
          <w:jc w:val="center"/>
        </w:trPr>
        <w:tc>
          <w:tcPr>
            <w:tcW w:w="459" w:type="pct"/>
          </w:tcPr>
          <w:p w14:paraId="788867A4" w14:textId="77777777" w:rsidR="003127CE" w:rsidRPr="00CF545A" w:rsidRDefault="00CF545A">
            <w:pPr>
              <w:pStyle w:val="Tablebody"/>
              <w:jc w:val="left"/>
            </w:pPr>
            <w:proofErr w:type="spellStart"/>
            <w:r w:rsidRPr="00CF545A">
              <w:rPr>
                <w:rFonts w:eastAsia="PingFang SC"/>
              </w:rPr>
              <w:lastRenderedPageBreak/>
              <w:t>Alles</w:t>
            </w:r>
            <w:proofErr w:type="spellEnd"/>
            <w:r w:rsidRPr="00CF545A">
              <w:rPr>
                <w:rFonts w:eastAsia="PingFang SC"/>
              </w:rPr>
              <w:t xml:space="preserve"> </w:t>
            </w:r>
            <w:r w:rsidRPr="00CF545A">
              <w:rPr>
                <w:rFonts w:eastAsia="PingFang SC"/>
                <w:i/>
              </w:rPr>
              <w:t>et al</w:t>
            </w:r>
            <w:r w:rsidRPr="00CF545A">
              <w:rPr>
                <w:rFonts w:eastAsia="PingFang SC"/>
              </w:rPr>
              <w:t>., 1996 [</w:t>
            </w:r>
            <w:r w:rsidRPr="00CF545A">
              <w:t>36]</w:t>
            </w:r>
          </w:p>
        </w:tc>
        <w:tc>
          <w:tcPr>
            <w:tcW w:w="416" w:type="pct"/>
          </w:tcPr>
          <w:p w14:paraId="23FCEA67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RCT (cross-over)</w:t>
            </w:r>
          </w:p>
        </w:tc>
        <w:tc>
          <w:tcPr>
            <w:tcW w:w="624" w:type="pct"/>
          </w:tcPr>
          <w:p w14:paraId="38B93395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Intervention: FOS, 5 g/d for 1 week, 15 g/d for 1 week;</w:t>
            </w:r>
          </w:p>
          <w:p w14:paraId="33FC9D84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Control: glucose</w:t>
            </w:r>
          </w:p>
        </w:tc>
        <w:tc>
          <w:tcPr>
            <w:tcW w:w="495" w:type="pct"/>
          </w:tcPr>
          <w:p w14:paraId="7D33A83E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24 enrolled, 24 completed</w:t>
            </w:r>
          </w:p>
        </w:tc>
        <w:tc>
          <w:tcPr>
            <w:tcW w:w="624" w:type="pct"/>
          </w:tcPr>
          <w:p w14:paraId="41CA43D1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Healthy men, aged 19–28 years; Netherlands</w:t>
            </w:r>
          </w:p>
        </w:tc>
        <w:tc>
          <w:tcPr>
            <w:tcW w:w="345" w:type="pct"/>
          </w:tcPr>
          <w:p w14:paraId="079874FB" w14:textId="77777777" w:rsidR="003127CE" w:rsidRPr="00CF545A" w:rsidRDefault="00CF545A">
            <w:pPr>
              <w:pStyle w:val="Tablebody"/>
              <w:jc w:val="left"/>
            </w:pPr>
            <w:r w:rsidRPr="00CF545A">
              <w:rPr>
                <w:rFonts w:eastAsia="PingFang SC"/>
              </w:rPr>
              <w:t>1 week per dose</w:t>
            </w:r>
          </w:p>
        </w:tc>
        <w:tc>
          <w:tcPr>
            <w:tcW w:w="693" w:type="pct"/>
          </w:tcPr>
          <w:p w14:paraId="7ECC82AB" w14:textId="77777777" w:rsidR="003127CE" w:rsidRPr="00CF545A" w:rsidRDefault="00CF545A">
            <w:pPr>
              <w:pStyle w:val="Tablebody"/>
              <w:jc w:val="left"/>
            </w:pPr>
            <w:r w:rsidRPr="00CF545A">
              <w:t>No significant changes in stool frequency, consistency, or wet weight were observed at either FOS dose.</w:t>
            </w:r>
          </w:p>
        </w:tc>
        <w:tc>
          <w:tcPr>
            <w:tcW w:w="686" w:type="pct"/>
          </w:tcPr>
          <w:p w14:paraId="06BDD0E3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Flatulence reported more frequently with high dose of FOS (15 g/d).</w:t>
            </w:r>
          </w:p>
        </w:tc>
        <w:tc>
          <w:tcPr>
            <w:tcW w:w="658" w:type="pct"/>
          </w:tcPr>
          <w:p w14:paraId="3B034432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Study design type: 4</w:t>
            </w:r>
          </w:p>
          <w:p w14:paraId="075C00B1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Implementation: 2</w:t>
            </w:r>
          </w:p>
          <w:p w14:paraId="6F934790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Effect size: 0</w:t>
            </w:r>
          </w:p>
          <w:p w14:paraId="002D412C" w14:textId="77777777" w:rsidR="003127CE" w:rsidRPr="00CF545A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Health relevance: 3</w:t>
            </w:r>
          </w:p>
          <w:p w14:paraId="6329F126" w14:textId="77777777" w:rsidR="003127CE" w:rsidRDefault="00CF545A">
            <w:pPr>
              <w:pStyle w:val="Tablebody"/>
              <w:jc w:val="left"/>
              <w:rPr>
                <w:rFonts w:eastAsia="PingFang SC"/>
              </w:rPr>
            </w:pPr>
            <w:r w:rsidRPr="00CF545A">
              <w:rPr>
                <w:rFonts w:eastAsia="PingFang SC"/>
              </w:rPr>
              <w:t>= Literature quality: 9</w:t>
            </w:r>
          </w:p>
        </w:tc>
      </w:tr>
    </w:tbl>
    <w:p w14:paraId="584D3939" w14:textId="77777777" w:rsidR="003127CE" w:rsidRDefault="003127CE">
      <w:pPr>
        <w:pStyle w:val="Tablefooter"/>
      </w:pPr>
    </w:p>
    <w:p w14:paraId="6E7E876F" w14:textId="77777777" w:rsidR="003127CE" w:rsidRDefault="003127CE"/>
    <w:sectPr w:rsidR="00312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153A" w14:textId="77777777" w:rsidR="007B549F" w:rsidRDefault="007B549F">
      <w:r>
        <w:separator/>
      </w:r>
    </w:p>
  </w:endnote>
  <w:endnote w:type="continuationSeparator" w:id="0">
    <w:p w14:paraId="4C2B7119" w14:textId="77777777" w:rsidR="007B549F" w:rsidRDefault="007B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Calibri"/>
    <w:panose1 w:val="01010103010101010101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ingFang SC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0D34" w14:textId="77777777" w:rsidR="003127CE" w:rsidRDefault="003127CE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34BB" w14:textId="77777777" w:rsidR="003127CE" w:rsidRDefault="003127CE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EA15" w14:textId="77777777" w:rsidR="003127CE" w:rsidRDefault="003127CE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30E6" w14:textId="77777777" w:rsidR="007B549F" w:rsidRDefault="007B549F">
      <w:r>
        <w:separator/>
      </w:r>
    </w:p>
  </w:footnote>
  <w:footnote w:type="continuationSeparator" w:id="0">
    <w:p w14:paraId="75F7C7AD" w14:textId="77777777" w:rsidR="007B549F" w:rsidRDefault="007B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FC40" w14:textId="77777777" w:rsidR="003127CE" w:rsidRDefault="003127CE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0D2A" w14:textId="77777777" w:rsidR="003127CE" w:rsidRDefault="003127CE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35ED5" w14:textId="77777777" w:rsidR="003127CE" w:rsidRDefault="003127CE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60"/>
    <w:rsid w:val="000F7456"/>
    <w:rsid w:val="001C4626"/>
    <w:rsid w:val="001E3E60"/>
    <w:rsid w:val="003127CE"/>
    <w:rsid w:val="005903B0"/>
    <w:rsid w:val="007B549F"/>
    <w:rsid w:val="009C4202"/>
    <w:rsid w:val="00A11BB4"/>
    <w:rsid w:val="00A539DC"/>
    <w:rsid w:val="00B82368"/>
    <w:rsid w:val="00C171A9"/>
    <w:rsid w:val="00C771EB"/>
    <w:rsid w:val="00CF545A"/>
    <w:rsid w:val="00E4566E"/>
    <w:rsid w:val="00FE1077"/>
    <w:rsid w:val="724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91AE4"/>
  <w15:docId w15:val="{36B51536-10D9-41CE-B6D3-FA8519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20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color w:val="000000"/>
      <w:kern w:val="44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color w:val="000000"/>
      <w:kern w:val="0"/>
      <w:szCs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firstLineChars="200"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="0"/>
      <w:outlineLvl w:val="6"/>
    </w:pPr>
    <w:rPr>
      <w:rFonts w:ascii="Times New Roman" w:eastAsia="Times New Roman" w:hAnsi="Times New Roman" w:cs="Times New Roman"/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Pr>
      <w:rFonts w:ascii="Times New Roman" w:eastAsia="Times New Roman" w:hAnsi="Times New Roman" w:cs="Times New Roman"/>
      <w:szCs w:val="21"/>
    </w:rPr>
  </w:style>
  <w:style w:type="paragraph" w:styleId="a4">
    <w:name w:val="annotation text"/>
    <w:basedOn w:val="a"/>
    <w:link w:val="a5"/>
    <w:uiPriority w:val="20"/>
    <w:qFormat/>
    <w:pPr>
      <w:widowControl/>
      <w:adjustRightInd w:val="0"/>
      <w:snapToGrid w:val="0"/>
      <w:jc w:val="left"/>
    </w:pPr>
    <w:rPr>
      <w:rFonts w:ascii="Times New Roman" w:eastAsia="Times New Roman" w:hAnsi="Times New Roman" w:cs="Times New Roman"/>
      <w:kern w:val="0"/>
      <w:szCs w:val="21"/>
      <w:lang w:eastAsia="es-ES"/>
    </w:rPr>
  </w:style>
  <w:style w:type="paragraph" w:styleId="a6">
    <w:name w:val="Body Text"/>
    <w:basedOn w:val="a"/>
    <w:link w:val="a7"/>
    <w:autoRedefine/>
    <w:uiPriority w:val="1"/>
    <w:qFormat/>
    <w:pPr>
      <w:autoSpaceDE w:val="0"/>
      <w:autoSpaceDN w:val="0"/>
      <w:adjustRightInd w:val="0"/>
      <w:ind w:firstLineChars="200" w:firstLine="420"/>
    </w:pPr>
    <w:rPr>
      <w:rFonts w:ascii="Times New Roman" w:eastAsia="Times New Roman" w:hAnsi="Times New Roman" w:cs="Times New Roman"/>
      <w:kern w:val="0"/>
      <w:szCs w:val="21"/>
    </w:rPr>
  </w:style>
  <w:style w:type="paragraph" w:styleId="a8">
    <w:name w:val="endnote text"/>
    <w:basedOn w:val="a"/>
    <w:link w:val="a9"/>
    <w:semiHidden/>
    <w:unhideWhenUsed/>
    <w:pPr>
      <w:ind w:firstLineChars="200" w:firstLine="200"/>
    </w:pPr>
    <w:rPr>
      <w:rFonts w:ascii="Times New Roman" w:eastAsia="Times New Roman" w:hAnsi="Times New Roman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pPr>
      <w:ind w:firstLineChars="200" w:firstLine="200"/>
    </w:pPr>
    <w:rPr>
      <w:rFonts w:ascii="Times New Roman" w:eastAsia="Times New Roman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Normal (Web)"/>
    <w:basedOn w:val="a"/>
    <w:uiPriority w:val="99"/>
    <w:semiHidden/>
    <w:pPr>
      <w:ind w:firstLineChars="200" w:firstLine="200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pPr>
      <w:spacing w:line="260" w:lineRule="atLeast"/>
      <w:jc w:val="both"/>
    </w:pPr>
    <w:rPr>
      <w:rFonts w:ascii="Palatino Linotype" w:eastAsia="宋体" w:hAnsi="Palatino Linotype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uiPriority w:val="99"/>
    <w:semiHidden/>
    <w:unhideWhenUsed/>
  </w:style>
  <w:style w:type="character" w:styleId="af3">
    <w:name w:val="Hyperlink"/>
    <w:uiPriority w:val="99"/>
    <w:unhideWhenUsed/>
    <w:rPr>
      <w:color w:val="0563C1"/>
      <w:u w:val="single"/>
    </w:rPr>
  </w:style>
  <w:style w:type="character" w:styleId="af4">
    <w:name w:val="annotation reference"/>
    <w:basedOn w:val="a0"/>
    <w:semiHidden/>
    <w:qFormat/>
    <w:rPr>
      <w:sz w:val="21"/>
      <w:szCs w:val="21"/>
    </w:rPr>
  </w:style>
  <w:style w:type="paragraph" w:customStyle="1" w:styleId="Abstract">
    <w:name w:val="Abstract"/>
    <w:next w:val="a"/>
    <w:uiPriority w:val="5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s">
    <w:name w:val="References"/>
    <w:basedOn w:val="a"/>
    <w:link w:val="References0"/>
    <w:autoRedefine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kern w:val="0"/>
      <w:sz w:val="24"/>
    </w:rPr>
  </w:style>
  <w:style w:type="character" w:customStyle="1" w:styleId="References0">
    <w:name w:val="References 字符"/>
    <w:basedOn w:val="a0"/>
    <w:link w:val="References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ind w:left="133" w:firstLineChars="200" w:firstLine="200"/>
      <w:jc w:val="center"/>
    </w:pPr>
    <w:rPr>
      <w:rFonts w:ascii="Book Antiqua" w:eastAsia="Times New Roman" w:hAnsi="Book Antiqua" w:cs="Book Antiqua"/>
      <w:kern w:val="0"/>
      <w:sz w:val="24"/>
    </w:rPr>
  </w:style>
  <w:style w:type="paragraph" w:customStyle="1" w:styleId="af5">
    <w:name w:val="版权信息"/>
    <w:basedOn w:val="a"/>
    <w:autoRedefine/>
    <w:qFormat/>
    <w:rPr>
      <w:rFonts w:ascii="Times New Roman" w:eastAsia="Times New Roman" w:hAnsi="Times New Roman" w:cs="Times New Roman"/>
      <w:szCs w:val="21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Times New Roman" w:hAnsi="Times New Roman" w:cs="Times New Roman"/>
      <w:b/>
      <w:bCs/>
      <w:color w:val="000000"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Times New Roman" w:hAnsi="Times New Roman" w:cs="Times New Roman"/>
      <w:b/>
      <w:bCs/>
      <w:i/>
      <w:color w:val="000000"/>
      <w:kern w:val="0"/>
      <w:szCs w:val="21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Times New Roman" w:hAnsi="Times New Roman" w:cs="Times New Roman"/>
      <w:bCs/>
      <w:i/>
      <w:color w:val="000000"/>
      <w:kern w:val="0"/>
      <w:szCs w:val="21"/>
    </w:rPr>
  </w:style>
  <w:style w:type="character" w:customStyle="1" w:styleId="40">
    <w:name w:val="标题 4 字符"/>
    <w:link w:val="4"/>
    <w:uiPriority w:val="9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Pr>
      <w:rFonts w:asciiTheme="majorHAnsi" w:eastAsiaTheme="majorEastAsia" w:hAnsiTheme="majorHAnsi" w:cstheme="majorBidi"/>
      <w:szCs w:val="21"/>
    </w:rPr>
  </w:style>
  <w:style w:type="paragraph" w:customStyle="1" w:styleId="af6">
    <w:name w:val="表题"/>
    <w:basedOn w:val="a"/>
    <w:autoRedefine/>
    <w:qFormat/>
    <w:pPr>
      <w:spacing w:beforeLines="100" w:before="100" w:afterLines="100" w:after="100" w:line="360" w:lineRule="auto"/>
      <w:ind w:leftChars="200" w:left="200"/>
      <w:jc w:val="center"/>
    </w:pPr>
    <w:rPr>
      <w:rFonts w:ascii="Times New Roman" w:eastAsia="Times New Roman" w:hAnsi="Times New Roman" w:cs="Times New Roman"/>
      <w:b/>
      <w:szCs w:val="21"/>
    </w:rPr>
  </w:style>
  <w:style w:type="paragraph" w:customStyle="1" w:styleId="af7">
    <w:name w:val="表注"/>
    <w:basedOn w:val="a"/>
    <w:autoRedefine/>
    <w:qFormat/>
    <w:pPr>
      <w:snapToGrid w:val="0"/>
    </w:pPr>
    <w:rPr>
      <w:rFonts w:ascii="Times New Roman" w:eastAsia="Times New Roman" w:hAnsi="Times New Roman" w:cs="Times New Roman"/>
      <w:szCs w:val="21"/>
    </w:rPr>
  </w:style>
  <w:style w:type="paragraph" w:customStyle="1" w:styleId="af8">
    <w:name w:val="参考文献"/>
    <w:basedOn w:val="a"/>
    <w:autoRedefine/>
    <w:qFormat/>
    <w:pPr>
      <w:ind w:left="360" w:hangingChars="200" w:hanging="360"/>
    </w:pPr>
    <w:rPr>
      <w:rFonts w:ascii="Times New Roman" w:hAnsi="Times New Roman"/>
      <w:sz w:val="18"/>
    </w:rPr>
  </w:style>
  <w:style w:type="paragraph" w:customStyle="1" w:styleId="af9">
    <w:name w:val="稿件类型"/>
    <w:basedOn w:val="a"/>
    <w:autoRedefine/>
    <w:qFormat/>
    <w:pPr>
      <w:jc w:val="left"/>
    </w:pPr>
    <w:rPr>
      <w:rFonts w:ascii="Times New Roman" w:eastAsia="宋体" w:hAnsi="Times New Roman"/>
      <w:sz w:val="20"/>
      <w:szCs w:val="21"/>
    </w:rPr>
  </w:style>
  <w:style w:type="paragraph" w:customStyle="1" w:styleId="afa">
    <w:name w:val="关键词"/>
    <w:basedOn w:val="Keywords"/>
    <w:autoRedefine/>
    <w:qFormat/>
    <w:rPr>
      <w:b/>
    </w:rPr>
  </w:style>
  <w:style w:type="paragraph" w:customStyle="1" w:styleId="afb">
    <w:name w:val="机构信息"/>
    <w:basedOn w:val="a"/>
    <w:link w:val="afc"/>
    <w:autoRedefine/>
    <w:qFormat/>
    <w:rPr>
      <w:rFonts w:ascii="Times New Roman" w:eastAsia="Times New Roman" w:hAnsi="Times New Roman"/>
      <w:szCs w:val="21"/>
    </w:rPr>
  </w:style>
  <w:style w:type="character" w:customStyle="1" w:styleId="afc">
    <w:name w:val="机构信息 字符"/>
    <w:link w:val="afb"/>
    <w:rPr>
      <w:rFonts w:ascii="Times New Roman" w:eastAsia="Times New Roman" w:hAnsi="Times New Roman"/>
      <w:szCs w:val="21"/>
    </w:rPr>
  </w:style>
  <w:style w:type="paragraph" w:customStyle="1" w:styleId="afd">
    <w:name w:val="接收日期"/>
    <w:basedOn w:val="a"/>
    <w:autoRedefine/>
    <w:qFormat/>
    <w:rPr>
      <w:rFonts w:ascii="Times New Roman" w:eastAsia="Times New Roman" w:hAnsi="Times New Roman" w:cs="Times New Roman"/>
      <w:szCs w:val="21"/>
    </w:rPr>
  </w:style>
  <w:style w:type="paragraph" w:styleId="afe">
    <w:name w:val="List Paragraph"/>
    <w:basedOn w:val="a"/>
    <w:uiPriority w:val="1"/>
    <w:qFormat/>
    <w:pPr>
      <w:autoSpaceDE w:val="0"/>
      <w:autoSpaceDN w:val="0"/>
      <w:adjustRightInd w:val="0"/>
      <w:spacing w:before="3"/>
      <w:ind w:left="561" w:right="126" w:firstLineChars="200" w:hanging="431"/>
    </w:pPr>
    <w:rPr>
      <w:rFonts w:ascii="Book Antiqua" w:eastAsia="Times New Roman" w:hAnsi="Book Antiqua" w:cs="Book Antiqua"/>
      <w:kern w:val="0"/>
      <w:sz w:val="24"/>
    </w:rPr>
  </w:style>
  <w:style w:type="character" w:customStyle="1" w:styleId="ab">
    <w:name w:val="批注框文本 字符"/>
    <w:basedOn w:val="a0"/>
    <w:link w:val="aa"/>
    <w:uiPriority w:val="99"/>
    <w:semiHidden/>
    <w:rPr>
      <w:rFonts w:ascii="Times New Roman" w:eastAsia="Times New Roman" w:hAnsi="Times New Roman" w:cs="Times New Roman"/>
      <w:sz w:val="18"/>
      <w:szCs w:val="18"/>
    </w:rPr>
  </w:style>
  <w:style w:type="paragraph" w:customStyle="1" w:styleId="aff">
    <w:name w:val="通讯作者"/>
    <w:basedOn w:val="a"/>
    <w:autoRedefine/>
    <w:qFormat/>
    <w:rPr>
      <w:rFonts w:ascii="Times New Roman" w:eastAsia="Times New Roman" w:hAnsi="Times New Roman" w:cs="Times New Roman"/>
      <w:szCs w:val="21"/>
    </w:rPr>
  </w:style>
  <w:style w:type="paragraph" w:customStyle="1" w:styleId="aff0">
    <w:name w:val="图注"/>
    <w:basedOn w:val="a"/>
    <w:autoRedefine/>
    <w:qFormat/>
    <w:rPr>
      <w:rFonts w:ascii="Times New Roman" w:eastAsia="Times New Roman" w:hAnsi="Times New Roman" w:cs="Times New Roman"/>
      <w:szCs w:val="21"/>
    </w:rPr>
  </w:style>
  <w:style w:type="table" w:customStyle="1" w:styleId="5-11">
    <w:name w:val="网格表 5 深色 - 着色 11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Pr>
      <w:rFonts w:ascii="Times New Roman" w:eastAsia="宋体" w:hAnsi="Times New Roman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aff1">
    <w:name w:val="文章标题"/>
    <w:basedOn w:val="a"/>
    <w:link w:val="aff2"/>
    <w:autoRedefine/>
    <w:qFormat/>
    <w:pPr>
      <w:kinsoku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bCs/>
      <w:spacing w:val="-8"/>
      <w:sz w:val="36"/>
      <w:szCs w:val="36"/>
    </w:rPr>
  </w:style>
  <w:style w:type="character" w:customStyle="1" w:styleId="aff2">
    <w:name w:val="文章标题 字符"/>
    <w:link w:val="aff1"/>
    <w:rPr>
      <w:rFonts w:ascii="Times New Roman" w:eastAsia="Times New Roman" w:hAnsi="Times New Roman"/>
      <w:b/>
      <w:bCs/>
      <w:spacing w:val="-8"/>
      <w:sz w:val="36"/>
      <w:szCs w:val="36"/>
    </w:rPr>
  </w:style>
  <w:style w:type="character" w:customStyle="1" w:styleId="ad">
    <w:name w:val="页脚 字符"/>
    <w:link w:val="ac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f">
    <w:name w:val="页眉 字符"/>
    <w:link w:val="ae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3">
    <w:name w:val="摘要"/>
    <w:basedOn w:val="Abstract"/>
    <w:autoRedefine/>
    <w:qFormat/>
    <w:rPr>
      <w:b/>
    </w:rPr>
  </w:style>
  <w:style w:type="character" w:customStyle="1" w:styleId="a7">
    <w:name w:val="正文文本 字符"/>
    <w:link w:val="a6"/>
    <w:uiPriority w:val="1"/>
    <w:rPr>
      <w:rFonts w:ascii="Times New Roman" w:eastAsia="Times New Roman" w:hAnsi="Times New Roman" w:cs="Times New Roman"/>
      <w:kern w:val="0"/>
      <w:szCs w:val="21"/>
    </w:rPr>
  </w:style>
  <w:style w:type="paragraph" w:customStyle="1" w:styleId="aff4">
    <w:name w:val="致谢部分"/>
    <w:basedOn w:val="a6"/>
    <w:link w:val="aff5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5">
    <w:name w:val="致谢部分 字符"/>
    <w:basedOn w:val="a7"/>
    <w:link w:val="aff4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6">
    <w:name w:val="作者信息"/>
    <w:basedOn w:val="a"/>
    <w:autoRedefine/>
    <w:qFormat/>
    <w:rPr>
      <w:rFonts w:ascii="Times New Roman" w:eastAsia="Times New Roman" w:hAnsi="Times New Roman"/>
      <w:szCs w:val="21"/>
    </w:rPr>
  </w:style>
  <w:style w:type="paragraph" w:customStyle="1" w:styleId="Academiceditor">
    <w:name w:val="Academic editor"/>
    <w:uiPriority w:val="4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qFormat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color w:val="000000"/>
      <w:sz w:val="21"/>
      <w:szCs w:val="21"/>
      <w:lang w:bidi="en-US"/>
    </w:rPr>
  </w:style>
  <w:style w:type="character" w:customStyle="1" w:styleId="Keywords0">
    <w:name w:val="Keywords 字符"/>
    <w:basedOn w:val="a0"/>
    <w:link w:val="Keywords"/>
    <w:uiPriority w:val="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3"/>
    <w:qFormat/>
    <w:pPr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4"/>
    <w:qFormat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5"/>
    <w:qFormat/>
    <w:pPr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qFormat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a9">
    <w:name w:val="尾注文本 字符"/>
    <w:link w:val="a8"/>
    <w:semiHidden/>
    <w:rPr>
      <w:rFonts w:ascii="Palatino Linotype" w:eastAsia="宋体" w:hAnsi="Palatino Linotype" w:cs="Times New Roman"/>
      <w:color w:val="000000"/>
      <w:kern w:val="0"/>
      <w:sz w:val="20"/>
      <w:szCs w:val="20"/>
    </w:rPr>
  </w:style>
  <w:style w:type="table" w:customStyle="1" w:styleId="41">
    <w:name w:val="无格式表格 41"/>
    <w:basedOn w:val="a1"/>
    <w:uiPriority w:val="44"/>
    <w:rPr>
      <w:rFonts w:ascii="Calibri" w:eastAsia="宋体" w:hAnsi="Calibri" w:cs="Times New Roman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f7">
    <w:name w:val="Placeholder Text"/>
    <w:uiPriority w:val="99"/>
    <w:semiHidden/>
    <w:rPr>
      <w:color w:val="808080"/>
    </w:rPr>
  </w:style>
  <w:style w:type="character" w:customStyle="1" w:styleId="a5">
    <w:name w:val="批注文字 字符"/>
    <w:basedOn w:val="a0"/>
    <w:link w:val="a4"/>
    <w:uiPriority w:val="20"/>
    <w:qFormat/>
    <w:rPr>
      <w:rFonts w:ascii="Times New Roman" w:eastAsia="Times New Roman" w:hAnsi="Times New Roman" w:cs="Times New Roman"/>
      <w:kern w:val="0"/>
      <w:szCs w:val="2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 Lee</dc:creator>
  <cp:lastModifiedBy>sia</cp:lastModifiedBy>
  <cp:revision>4</cp:revision>
  <dcterms:created xsi:type="dcterms:W3CDTF">2026-04-13T07:34:00Z</dcterms:created>
  <dcterms:modified xsi:type="dcterms:W3CDTF">2026-04-22T06:07:00Z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da4a5297-fbec-4869-ad23-934856b1443b</vt:lpwstr>
  </property>
  <property fmtid="{D5CDD505-2E9C-101B-9397-08002B2CF9AE}" pid="3" name="KSOTemplateDocerSaveRecord">
    <vt:lpwstr>eyJoZGlkIjoiODg4ZWVmYmEyNjg4OTI4MTJmMGFkZjBmNGMyMzllN2QiLCJ1c2VySWQiOiIxMDQ1NzU0NjgwIn0=</vt:lpwstr>
  </property>
  <property fmtid="{D5CDD505-2E9C-101B-9397-08002B2CF9AE}" pid="4" name="KSOProductBuildVer">
    <vt:lpwstr>2052-12.1.0.25225</vt:lpwstr>
  </property>
  <property fmtid="{D5CDD505-2E9C-101B-9397-08002B2CF9AE}" pid="5" name="ICV">
    <vt:lpwstr>EB8F45CCD50E499FBB3708DA4DA5B54E_12</vt:lpwstr>
  </property>
</Properties>
</file>